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1EBC" w14:textId="77777777" w:rsid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45B7720C" w14:textId="27E9735A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Zarząd Powiatu - w rozumieniu Ustawy z dnia 5 czerwca 1998 r. o samorządzie powiatowym (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t.j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. Dz. U. z 2022 r. poz. 1526, z 2023 r. poz. 572)  </w:t>
      </w:r>
    </w:p>
    <w:p w14:paraId="299F1273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</w:t>
      </w:r>
    </w:p>
    <w:p w14:paraId="56938251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t.j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. Dz. U. z 2019 r. poz. 162, 1590)  oraz przepisów art. 4 ust. 5 Ustawy o petycjach ( tj. Dz.U. 2018 poz. 870)  </w:t>
      </w:r>
    </w:p>
    <w:p w14:paraId="73FB54A2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Data dostarczenia  zgodna z dyspozycją art. 61 pkt. 2 Ustawy Kodeks Cywilny (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t.j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. Dz. U. z 2020 r. poz. 1740) </w:t>
      </w:r>
    </w:p>
    <w:p w14:paraId="0BEACAAF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</w:t>
      </w:r>
    </w:p>
    <w:p w14:paraId="496E4A67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 - a jego nomenklatura jednoznacznie identyfikuje odbiorcę. </w:t>
      </w:r>
    </w:p>
    <w:p w14:paraId="27293F6A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</w:t>
      </w:r>
    </w:p>
    <w:p w14:paraId="747291DB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>W razie wątpliwości co do trybu jaki należy zastosować do naszego pisma - wnosimy o bezwzględne zastosowanie dyspozycji art. 222 Ustawy z dnia 14 czerwca 1960 r. Kodeks postępowania administracyjnego</w:t>
      </w: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(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t.j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. Dz. U. z 2023 r. poz. 775)</w:t>
      </w:r>
    </w:p>
    <w:p w14:paraId="6A528248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</w:t>
      </w:r>
    </w:p>
    <w:p w14:paraId="7A5CEA6E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599A7BD7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Wniosek w trybie ustawy o dostępie do informacji publicznej i odrębna Petycja - w jednym piśmie – na mocy art. 61 i 63 Konstytucji RP</w:t>
      </w:r>
    </w:p>
    <w:p w14:paraId="168DC6F1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5815CB3D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5722CC22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>Preambuła Wniosku :</w:t>
      </w:r>
    </w:p>
    <w:p w14:paraId="6CFE208C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6C337FC9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Wg oficjalnych danych NBP  koszty obrotu gotówkowego to ponad 1% PKB i </w:t>
      </w:r>
      <w:hyperlink r:id="rId4" w:history="1">
        <w:r w:rsidRPr="00D6144B">
          <w:rPr>
            <w:rFonts w:ascii="Arial" w:eastAsia="Times New Roman" w:hAnsi="Arial" w:cs="Arial"/>
            <w:color w:val="0000FF"/>
            <w:kern w:val="0"/>
            <w:sz w:val="15"/>
            <w:szCs w:val="15"/>
            <w:u w:val="single"/>
            <w:lang w:eastAsia="pl-PL"/>
            <w14:ligatures w14:val="none"/>
          </w:rPr>
          <w:t>m.in</w:t>
        </w:r>
      </w:hyperlink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. z uwagi na inflację, wzrost kosztów pracy, systematycznie rosną. Obsługa gotówkowa jest więc nie tylko kosztowna ale wymaga także od samorządów zwiększania poziomu zabezpieczeń i wprowadzania procesów kontrolnych. Z tego też powodu samorządy w ostatnich latach wprowadziły szereg rozwiązań w zakresie akceptacji kart płatniczych w szczególności  udostępniając w urzędach terminale płatnicze oraz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opłatomaty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. Dzięki temu wartość obrotu bezgotówkowego w Samorządach zdecydowanie wzrasta a rozwiązań bezgotówkowych oczekują mieszkańcy. </w:t>
      </w:r>
    </w:p>
    <w:p w14:paraId="0EBA35A3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Płatności bezgotówkowe to szereg korzyści w funkcjonowaniu instytucji administracji publicznej. </w:t>
      </w:r>
    </w:p>
    <w:p w14:paraId="18A86C2F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Ułatwiają i porządkują proces obsługi interesantów oraz procedurę poboru opłat skarbowych i administracyjnych. </w:t>
      </w:r>
    </w:p>
    <w:p w14:paraId="104B02DF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28B9D68B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Wydaje się zatem, że promowanie opłat w postaci bezgotówkowej - powinno być priorytetem Urzędów i jako proces pożądany  zarówno przez Interesantów/Podatników -  jest w uzasadnionym interesie społecznym - przez instytucje samorządowe.  </w:t>
      </w:r>
    </w:p>
    <w:p w14:paraId="7C684871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Wprowadzenie płatności bezgotówkowych wpływa na nowoczesny wizerunek Samorządu. </w:t>
      </w:r>
    </w:p>
    <w:p w14:paraId="47B00EDC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Mieszkańcy na co dzień płacący online lub kartą - chcą mieć  taką możliwość również w urzędach i innych jednostkach administracji centralnej i samorządowej.</w:t>
      </w:r>
    </w:p>
    <w:p w14:paraId="4836F8D8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Ustawodawca za pomocą wielu przepisów stara się ograniczyć obrót gotówkowy, promuje instrumenty płatnicze i obrót bezgotówkowy. </w:t>
      </w:r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>Oczywiście do tej pory w Administracji Publicznej obrót bezgotówkowy utożsamiany był głównie z terminalem płatniczym, podczas gdy jest on jedynie jednym z wielu takich instrumentów.</w:t>
      </w:r>
    </w:p>
    <w:p w14:paraId="7FF55806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023ECB0E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Natomiast - sensu largo i kolejnym etapem wdrażania obrotu bezgotówkowego - w rozumieniu wnioskodawcy -  jest zatem: 'zindywidualizowane urządzenie lub uzgodniony, zaakceptowany przez użytkownika i dostawcę zbiór procedur, wykorzystywanych przez użytkownika do złożenia zlecenia płatniczego' w sposób zdalny, poprzez taką możliwość na stronie WWW Samorządu.</w:t>
      </w:r>
    </w:p>
    <w:p w14:paraId="3E0088B7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3589A9E7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Dotychczasowe rozwiązania tj. terminale POS i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opłatomaty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wymagają bowiem wizyty mieszkańca w Urzędzie i bezpośredniego kontaktu z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Urzędnikem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. Zaś oczekiwaniem mieszkańców jest jak najefektywniejsza możliwość realizacji czynności urzędowych także z każdego miejsca - najnowsze rozwiązania e-commerce pozwalają je spełnić. W rozwiązaniach e-commerce Instrumentem płatniczym może być karta kredytowa/debetowa, portfele Apple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Pay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i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google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pay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czy BLIK. Transakcje bezgotówkowe mogą być zrealizowane za pomocą komputera,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smartfona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- poprzez skorzystanie przez mieszkańca z aplikacji Miasta dostępnej na stronie www Samorządu - analogicznie jak w sklepach internetowych. Obowiązkiem Urzędu w takiej sytuacji będzie jedynie przygotowanie przyjaznego i bezpiecznego systemu pobierania takich opłat z wykorzystaniem już istniejących przetestowanych w empirii rozwiązań i odstępnych możliwości i udostępnienie go na swojej stronie internetowej.</w:t>
      </w:r>
    </w:p>
    <w:p w14:paraId="7D47D017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47070601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>Taki sposób dokonywania płatności w Urzędach był do tej pory trudny do wprowadzenia z uwagi na koszty oraz brak rozwiązań dopasowanych do specyfiki Samorządów. Na szczęście taka sytuacja uległa zmianie w ostatnim czasie z racji rozszerzenia programu Fundacji Polska Bezgotówkowa o płatności e-Commerce gdzie do końca 2025 Fundacja pokrywa koszty operatorów kartowych. Są także dostępne na rynku rozwiązania e-commerce dedykowane samorządom, co potwierdzają dostępne na stronach pierwszych gmin/powiatów*  systemy do pobierania opłat/podatków online.</w:t>
      </w:r>
    </w:p>
    <w:p w14:paraId="737E33BF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4B9408FE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Ostatnio w jednej z małych gmin na terenie kraju nastąpiło modelowe wdrożenie systemu dokonywania opłat online i wydaje się, że tą drogą powinny - zdaniem wnioskodawcy - podążyć inne urzędy - biorąc pod uwagę drastyczne zmniejszenie kosztów rzeczonego wdrożenia w stosunku do uprzednich  prób jakie miały miejsce w Gminach/Jednostkach  na terenie Kraju. </w:t>
      </w:r>
    </w:p>
    <w:p w14:paraId="0929D39D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24A7F19F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Mamy nadzieję, że Decydenci w jednostkach samorządu terytorialnego działając bona fides - biorąc pod uwagę powyższe argumenty - potraktują naszą petycję z należną atencją - i wdrożą odpowiednie działania celem zapewnienia powszechności akceptacji płatności bezgotówkowych, dzięki którym osiągnięte zostaną kolejne cele związane z uszczelnieniem systemu poboru podatków i danin. </w:t>
      </w:r>
    </w:p>
    <w:p w14:paraId="59ED3475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7C024238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W skali makro - sukcesy związane z uszczelnieniem systemu podatkowego od 3 lat - są olbrzymie – w skali mikro na poziomie samych jednostek samorządu terytorialnego jest jeszcze wiele do zrobienia. </w:t>
      </w:r>
    </w:p>
    <w:p w14:paraId="7DB356C0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Notabene od lutego br. Ministerstwo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Finansow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i Krajowa Administracja Skarbowa udostępniła możliwość płatności BLIK za roczne rozliczenie PIT (PIT-28, PIT-36, PIT-37, PIT-38, PIT-39) osobom fizycznym nieprowadzącym działalności gospodarczej i przedsiębiorcom. </w:t>
      </w:r>
    </w:p>
    <w:p w14:paraId="6414000E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6E53001C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Biorąc pod uwagę powyższe.</w:t>
      </w:r>
    </w:p>
    <w:p w14:paraId="01382903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Osnowa Wniosku: </w:t>
      </w:r>
    </w:p>
    <w:p w14:paraId="628A0EB6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§1)</w:t>
      </w: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ab/>
        <w:t>Na mocy art. 61 Konstytucji RP, w trybie art. 6 ust. 1 pkt. 1 lit c Ustawy z dnia 6 września o dostępie do informacji publicznej (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t.j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. Dz. U. z 2022 r. poz. 902.)  wnosimy o udzielenie informacji publicznej w przedmiocie  -</w:t>
      </w:r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> Czy Urząd (Adresat wniosku)  - na dzień złożenia niniejszego wniosku – udostępnia mieszkańcom możliwość zapłaty bezgotówkowo online poprzez stronę internetową miasta opłat i podatków – w formule e-commerce, w pełni zdalnie? Pisząc o płatnościach bezgotówkowych - wnioskodawca ma na myśli - możliwość płatności przez Interesanta/Podatnika - poprzez sieć Internet - za pomocą kart płatniczych online, etc. </w:t>
      </w:r>
    </w:p>
    <w:p w14:paraId="656345EA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>Wnioskodawca nie ma na myśli</w:t>
      </w: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 w tym przypadku płatności za pomocą przelewu bankowego czy też kartą na miejscu - za pomocą terminala czy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opłatomatu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- o to pytaliśmy 3 lata temu.</w:t>
      </w:r>
    </w:p>
    <w:p w14:paraId="2C7E1998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</w:t>
      </w:r>
    </w:p>
    <w:p w14:paraId="7CA8B228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lastRenderedPageBreak/>
        <w:t>§2)</w:t>
      </w: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ab/>
        <w:t>Jeśli odpowiedź na powyższe pytanie jest negatywna - na mocy art. 6 ust. 1 pkt. 1 lit a ww. Ustawy (informacja o zamierzeniach działań władzy ustawodawczej oraz wykonawczej) wyżej powołanej Ustawy o dostępie do informacji publicznej - wnosimy o udzielenie informacji publicznej w przedmiocie – </w:t>
      </w:r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>czy i kiedy planowane jest wdrożenie tego typu ułatwień w dokonywaniu płatności przez Interesantów/Podatników? (w tym przypadku prosimy o podanie planowanej przybliżonej daty wprowadzenia wzmiankowanych ułatwień) </w:t>
      </w:r>
    </w:p>
    <w:p w14:paraId="6EC7B5D8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Notabene nauczeni doświadczeniem - pozwalamy sobie zauważyć, Ustawodawca ipso iure  art. 6 ust. 1 pkt 1 lit. a  Ustawy z dnia 6 września o dostępie do informacji publicznej (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t.j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. Dz. U. z 2022 r. poz. 902.) - expressis verbis potwierdza, że „(…) Udostępnieniu podlega informacja publiczna w szczególności (…) o zamierzeniach władzy ustawodawczej i wykonawczej.  (…) „ </w:t>
      </w:r>
    </w:p>
    <w:p w14:paraId="7E980F55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2A91376D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 xml:space="preserve">Wg. wiedzy wnioskodawcy można skorzystać z know-how wiodących podmiotów działających w tym obszarze na terenie naszego kraju takich jak: Banki, Fundacje - </w:t>
      </w:r>
      <w:proofErr w:type="spellStart"/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>inter</w:t>
      </w:r>
      <w:proofErr w:type="spellEnd"/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 xml:space="preserve"> </w:t>
      </w:r>
      <w:proofErr w:type="spellStart"/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>alia</w:t>
      </w:r>
      <w:proofErr w:type="spellEnd"/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 xml:space="preserve"> Fundacje promujące obrót bezgotówkowy czy międzynarodowe komercyjne uznane instytucje działające od wielu lat w tym obszarze i  współdziałające z bankami na terenie RP.</w:t>
      </w: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</w:t>
      </w:r>
    </w:p>
    <w:p w14:paraId="20081AB4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71F53784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§3)</w:t>
      </w: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ab/>
        <w:t>Jeżeli odpowiedź na powyższe pytanie z §1) jest negatywna - wnosimy o udzielnie informacji publicznej w przedmiocie krótkiego opisu stanu faktycznego - rodzaju przeszkód- z powodu których do tej pory - ułatwienie dla Interesantów/Podatników w zakresie akceptacji zdalnych płatności e-commerce w formie bezgotówkowej, za pomocą kart płatniczych nie zostało jeszcze wprowadzone. </w:t>
      </w:r>
    </w:p>
    <w:p w14:paraId="675FB1C5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Prosimy o krótki opis największych istniejących przeszkód w tym zakresie. </w:t>
      </w:r>
    </w:p>
    <w:p w14:paraId="5D33C548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26243885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Odpowiedź na przedmiotowe pytanie wydaje się wnioskodawcy o tyle istotna, że być może - na podstawie ich analizy - możliwe będzie konkludowanie. gdzie leży geneza problematyki -  niekorzystnych społecznie opóźnień w tym zakresie.  </w:t>
      </w:r>
    </w:p>
    <w:p w14:paraId="5699063B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4790DCF3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§4)</w:t>
      </w: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ab/>
      </w:r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 xml:space="preserve">W trybie wyżej wzmiankowanych przepisów - jeśli odpowiedź na powyższe pytanie z §1) jest twierdząca - wnosimy o udzielenie informacji publicznej poprzez wskazanie z którym dostawcą usług płatniczych JST ma sygnowaną umowę oraz jaki jest odnośny zdefiniowany pakiet kosztów, </w:t>
      </w:r>
      <w:proofErr w:type="spellStart"/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>etc</w:t>
      </w:r>
      <w:proofErr w:type="spellEnd"/>
    </w:p>
    <w:p w14:paraId="1B79361D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141DB63A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§5)</w:t>
      </w: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ab/>
        <w:t>Na mocy wyżej powołanych dyspozycji prawa wnosimy o udzielenie informacji publicznej w przedmiocie imienia i nazwiska oraz danych kontaktowych Pracownika Urzędu (adresu e-mail oraz numeru telefonu) który w zakresie powierzonych kompetencji wykonuje zadania związane z obsługą funkcjonowania Urzędu w związku z wyżej powołaną problematyką.  </w:t>
      </w:r>
    </w:p>
    <w:p w14:paraId="52E491AE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25B5AC69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§6)</w:t>
      </w: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ab/>
        <w:t>Na mocy wyżej wzmiankowanych przepisów – wnosimy o podanie przypisanego podmiotowi numeru NIP oraz TERYT (Krajowy Rejestr Urzędowy Podziału Terytorialnego Kraju)</w:t>
      </w:r>
    </w:p>
    <w:p w14:paraId="45A3F6B6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3E3C714B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II) Petycja Odrębna: - procedowana w trybie Ustawy o petycjach (Dz.U.2018.870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t.j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. z dnia 2018.05.10) - dla ułatwienia i zmniejszenia biurokracji dołączamy ją do niniejszego wniosku.</w:t>
      </w:r>
    </w:p>
    <w:p w14:paraId="2FD32788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Nie jest to łączenie trybów - zatem prosimy kwalifikować niniejsze pisma jako dwa środki prawne - wniosek oznaczony powyżej za pomocą rzymskiej jedynki  i odrębną petycję oznaczoną II. To, że wzmiankowane umieszczenie dwóch środków prawnych w jednym piśmie jest możliwe i nawet pożądane można wnioskować z szerokiego piśmiennictwa ad exemplum  - vide -  J. Borkowski (w:) B. Adamiak, J. Borkowski, Kodeks postępowania…, s. 668; por. także art. 12 ust. 1 komentowanej ustawy - dostępne w sieci Internet.  </w:t>
      </w:r>
    </w:p>
    <w:p w14:paraId="52A06BB7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6F51271D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1P) </w:t>
      </w:r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 xml:space="preserve">Na mocy art. 63 Konstytucji RP w ramach przepisów art 2 pkt 1, 2 i 3 Ustawy z dnia 11 lipca 2014 r. o petycjach (Dz.U.2018.870 </w:t>
      </w:r>
      <w:proofErr w:type="spellStart"/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>t.j</w:t>
      </w:r>
      <w:proofErr w:type="spellEnd"/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>. z dnia 2018.05.10)  w związku z art. 241 Kodeksu postępowania administracyjnego (wnioski optymalizujące funkcjonowanie administracji publicznej), wnosimy petycję do organu powiatu o podjęcie działań zmierzających do stopniowego wdrożenia w Urzędzie procedur związanych z pełną obsługą płatności dokonywanych online przez Interesantów/Petentów/Podatników poprzez udostępnienie takiej możliwości na stronie internetowej samorządu.  </w:t>
      </w:r>
    </w:p>
    <w:p w14:paraId="1756895C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6DE051A1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Jesteśmy przekonani, że na rynku - obecnie -  znajdują się podmioty (w tym uznane Banki i Instytucje) mające spore doświadczenie z wdrażaniem tego typu nowych sposobów płatności w Urzędach i per analogiam jak to było w przypadku terminali płatniczych - i być może mogą z uwzględnieniem zasad uczciwej konkurencji dotyczącej racjonalnego i oszczędnego wydatkowania środków publicznych - partycypować w pewnym stopniu w kosztach i zdefiniowaniu indywidualnej dedykowanej procedury (procesu) -   wdrożenia tego typu nowych metod kontaktu na linii Urząd - Interesant/Podatnik/Petent. </w:t>
      </w:r>
    </w:p>
    <w:p w14:paraId="51A88B11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Takie mechanizmy doskonale już zafunkcjonowały w wielu krajach i w czasach minionej pandemii przeszły pozytywną weryfikację w empirii. </w:t>
      </w:r>
    </w:p>
    <w:p w14:paraId="49EBF580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>Oczywiście wszystkie takie ewentualne działania powinny być wykonywane w sposób jawny i transparentny z uwzględnieniem zasad uczciwej konkurencji</w:t>
      </w: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.</w:t>
      </w:r>
    </w:p>
    <w:p w14:paraId="7C35FFAC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3E9E50F6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Na bazie dokonanej analizy wnosimy o krótkie, kilkuzdaniowe podsumowanie w odpowiedzi na niniejszą petycję - mocnych i słabych stron ewentualnego wdrożenia procedur pełnego zaspokojenia żądań Interesantów - pod kątem udostępnienia Interesantom mechanizmów pełnej płatności bezgotówkowej -  w formie online w ramach procedur funkcjonujących w Urzędzie -  Oczywiście w odniesieniu do obecnie panującego w Jednostce stanu faktycznego.  </w:t>
      </w:r>
    </w:p>
    <w:p w14:paraId="5A94C15C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17CAD804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Dla ułatwienia pozwalamy sobie podpowiedzieć, że Decydenci mogą podjąć próbę uzyskania danych z gmin, które w ostatnim czasie wdrożyły tego typu rozwiązania e-commerce i w ten sposób w empirii zapoznać się z problematyką tego wdrożenia. </w:t>
      </w:r>
    </w:p>
    <w:p w14:paraId="5BCDD304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Jako że chodzi o sprawy publiczne informacja w tej mierze powinna być - zdaniem wnioskodawcy - łatwa do identyfikacji i odszukania - po wykonaniu odpowiedniego rekonesansu w sieci Internet  </w:t>
      </w:r>
    </w:p>
    <w:p w14:paraId="022517D3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640FA52F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Uzasadnienie wniosku: </w:t>
      </w:r>
    </w:p>
    <w:p w14:paraId="4740EA5F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Jak wykazują odpowiedzi uzyskane w ramach uprzednich naszych akcji wnioskowania - w trybie ustawy o dostępie do informacji publicznej - w której pytaliśmy o szereg aspektów związanych z obecnym stanem prawnym  - część  Gmin /Miast/JST - nieracjonalnie wydatkuje publiczne pieniądze - w obszarach, o które pytaliśmy. </w:t>
      </w:r>
    </w:p>
    <w:p w14:paraId="206C1761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</w:t>
      </w:r>
    </w:p>
    <w:p w14:paraId="6DC9A80C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Tymczasem inne Gminy/Miasta/JST - szczególnie w Polsce południowo-wschodniej - wręcz wzorcowo dobrze - potrafiły optymalizować rzeczone koszty i uzyskać spore oszczędności. </w:t>
      </w:r>
    </w:p>
    <w:p w14:paraId="6C40BCF5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Takie skuteczne działania oszczędnościowe - mogły zostać i zostały podjęte przez JST w Polsce południowo-wschodniej - jak mniemamy z tego powodu,  że w ciągu ostatnich 10 lat - wiele zmieniło się w podejściu podmiotów rynkowych do obsługi Jednostek Administracji Publicznej  -  szczególnie w warunkach ostrej konkurencji rynkowej.</w:t>
      </w:r>
    </w:p>
    <w:p w14:paraId="0A9DF2BA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68757673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7D4E1269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Biorąc pod uwagę powyższą analizę - opartą o uzyskiwane - na piśmie -  informacje publiczne korespondując z brzmieniem art. 3 ust. 1 pkt. 1 Ustawy o dostępie do informacji publicznej (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t.j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. Dz. U. 2022 poz. 902) - zdaniem wnioskodawcy kompletacja odnośnych danych nie wymaga działań związanych z długotrwałym ich przetwarzaniem - dane te powinny być ad hoc dostępne w Urzędzie –   oraz  dane te  jak </w:t>
      </w: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lastRenderedPageBreak/>
        <w:t xml:space="preserve">wykazano w oparciu powyższą analizę i stan faktyczny z niej wynikający -  wydają się SZCZEGÓLNIE ISTOTNE  z punktu widzenia uzasadnionego interesu społecznego -  pro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publico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bono.</w:t>
      </w:r>
    </w:p>
    <w:p w14:paraId="372530EB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28D27B11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2DC810E5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Aby zweryfikować ten stan faktyczny - wystarczy zapoznać się z publikowanymi odpowiedziami uzyskanymi przez nas w innych akcjach wnioskowania  - często przy podobnych warunkach umownych różnice w wydatkowaniu środków publicznych  - są ogromne. </w:t>
      </w:r>
    </w:p>
    <w:p w14:paraId="6F3CF33C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104C4108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Zgodnie z uprawnieniem zawartym w KPA (odpowiedź w tożsamej formie do wniosku) wnosimy aby odpowiedź została udzielona w postaci elektronicznej. </w:t>
      </w:r>
    </w:p>
    <w:p w14:paraId="58678986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1713CDAC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pl-PL"/>
          <w14:ligatures w14:val="none"/>
        </w:rPr>
        <w:t>Pozwalamy sobie zasugerować aby nie drukować naszych wniosków i procedować je jedynie w postaci elektronicznej. </w:t>
      </w:r>
    </w:p>
    <w:p w14:paraId="6DC5F9DA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5F0F0D24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W celu zwiększania jawności i transparentności - prosimy aby wszystkie nasze pisma publikować w Biuletynie Informacji Publicznej Jednostki lub stronie WWW podmiotu - prośba ta jest oczywiście fakultatywna, gdyż obowiązek publikacji istnieje jedynie w stosunku do części związanej z odnośną petycją - ipso iure art. 8 ust. 1 ww. Ustawy o petycjach (Dz.U.2018.870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t.j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. z dnia 2018.05.10) W konsekwencji wyrażamy zgodę na opublikowanie treści petycji  na stronie internetowej podmiotu rozpatrującego petycję lub urzędu go obsługującego (Adresata)  co jest jednoznaczne z wyrażeniem zgody na publikację wszystkich danych podmiotu wnoszącego petycję. </w:t>
      </w:r>
    </w:p>
    <w:p w14:paraId="5F77FBF6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</w:t>
      </w:r>
    </w:p>
    <w:p w14:paraId="1909FD10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- Wnosimy o zwrotne potwierdzenie otrzymania niniejszego wniosku w trybie §7  Rozporządzenia Prezesa Rady Ministrów z dnia 8 stycznia 2002 r. w sprawie organizacji przyjmowania i rozpatrywania s. i wniosków. (Dz. U. z dnia 22 styczna 2002 r. Nr 5, poz. 46) -  na adres poczty elektronicznej: </w:t>
      </w:r>
      <w:hyperlink r:id="rId5" w:history="1">
        <w:r w:rsidRPr="00D6144B">
          <w:rPr>
            <w:rFonts w:ascii="Arial" w:eastAsia="Times New Roman" w:hAnsi="Arial" w:cs="Arial"/>
            <w:color w:val="0000FF"/>
            <w:kern w:val="0"/>
            <w:sz w:val="15"/>
            <w:szCs w:val="15"/>
            <w:u w:val="single"/>
            <w:lang w:eastAsia="pl-PL"/>
            <w14:ligatures w14:val="none"/>
          </w:rPr>
          <w:t>e-commerce@samorzad.pl</w:t>
        </w:r>
      </w:hyperlink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 </w:t>
      </w:r>
    </w:p>
    <w:p w14:paraId="2F3E097C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- Wnosimy o to, aby odpowiedź w  przedmiocie powyższych pytań  złożonych na mocy art. 61 i 63 Konstytucji RP - w związku z art.  241 KPA, została udzielona - zwrotnie na adres poczty elektronicznej </w:t>
      </w:r>
      <w:hyperlink r:id="rId6" w:history="1">
        <w:r w:rsidRPr="00D6144B">
          <w:rPr>
            <w:rFonts w:ascii="Arial" w:eastAsia="Times New Roman" w:hAnsi="Arial" w:cs="Arial"/>
            <w:color w:val="0000FF"/>
            <w:kern w:val="0"/>
            <w:sz w:val="15"/>
            <w:szCs w:val="15"/>
            <w:u w:val="single"/>
            <w:lang w:eastAsia="pl-PL"/>
            <w14:ligatures w14:val="none"/>
          </w:rPr>
          <w:t>e-commerce@samorzad.pl</w:t>
        </w:r>
      </w:hyperlink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</w:t>
      </w:r>
    </w:p>
    <w:p w14:paraId="79FE9623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- Wniosek został sygnowany bezpiecznym, kwalifikowanym podpisem elektronicznym - stosownie do wytycznych Ustawy z dnia 5 września 2016 r. o usługach zaufania oraz identyfikacji elektronicznej (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t.j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. Dz. U. z 2019 r. poz. 162, 1590) </w:t>
      </w:r>
    </w:p>
    <w:p w14:paraId="36D2B07B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4BC92A96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Wnioskodawca: </w:t>
      </w:r>
    </w:p>
    <w:p w14:paraId="7F739667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Osoba Prawna</w:t>
      </w:r>
    </w:p>
    <w:p w14:paraId="105DEC6D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Szulc-Efekt sp. z o. o.</w:t>
      </w:r>
    </w:p>
    <w:p w14:paraId="7E43C093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Prezes Zarządu - Adam Szulc </w:t>
      </w:r>
    </w:p>
    <w:p w14:paraId="083FC356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ul. Poligonowa 1</w:t>
      </w:r>
    </w:p>
    <w:p w14:paraId="11357E5B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04-051 Warszawa</w:t>
      </w:r>
    </w:p>
    <w:p w14:paraId="4C3D20CE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tel. 608-318-418 </w:t>
      </w:r>
    </w:p>
    <w:p w14:paraId="60205E11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nr KRS: 0000059459</w:t>
      </w:r>
    </w:p>
    <w:p w14:paraId="54C5AD35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Kapitał Zakładowy: 222.000,00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pln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</w:t>
      </w:r>
    </w:p>
    <w:p w14:paraId="3E92ADD6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hyperlink r:id="rId7" w:history="1">
        <w:r w:rsidRPr="00D6144B">
          <w:rPr>
            <w:rFonts w:ascii="Arial" w:eastAsia="Times New Roman" w:hAnsi="Arial" w:cs="Arial"/>
            <w:color w:val="0000FF"/>
            <w:kern w:val="0"/>
            <w:sz w:val="15"/>
            <w:szCs w:val="15"/>
            <w:u w:val="single"/>
            <w:lang w:eastAsia="pl-PL"/>
            <w14:ligatures w14:val="none"/>
          </w:rPr>
          <w:t>www.gmina.pl</w:t>
        </w:r>
      </w:hyperlink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   </w:t>
      </w:r>
    </w:p>
    <w:p w14:paraId="1C23AD95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1FC6E182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2BC5EA6E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Stosownie do art. 4 ust. 2 pkt. 1 Ustawy o petycjach (Dz.U.2014.1195 z dnia 2014.09.05)  Imię i nazwisko osoby reprezentującej Podmiot wnoszący petycję ujawnione jest powyżej  </w:t>
      </w:r>
    </w:p>
    <w:p w14:paraId="62BF4C42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Stosownie do art. 4 ust. 2 pkt. 5 ww. Ustawy -  petycja niniejsza została złożona za pomocą środków komunikacji elektronicznej, sygnowana podpisem elektronicznym (który ujawnia dodatkowe dane), a adres ujawniony expressis verbis w petycji jest wskazanym zwrotnym adresem e-mail.</w:t>
      </w:r>
    </w:p>
    <w:p w14:paraId="5FDD790F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4E7A22AB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3E90DB61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Zwyczajowy komentarz do Wniosku:</w:t>
      </w:r>
    </w:p>
    <w:p w14:paraId="563CE93C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</w:t>
      </w:r>
    </w:p>
    <w:p w14:paraId="79CC8A32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Adresat jest jednoznacznie identyfikowany - na podstawie - unikalnego adresu e-mail opublikowanego w Biuletynie Informacji Publicznej Jednostki i przypisanego do odnośnego Organu.</w:t>
      </w:r>
    </w:p>
    <w:p w14:paraId="36DE937B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13CC9E24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Pomimo, iż w rzeczonym wniosku powołujemy się na art. 241 Ustawy z dnia 14 czerwca 1960 r. Kodeks postępowania administracyjnego (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t.j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. Dz. U. z 2021 r. poz. 735 , 2052)   -  w naszym mniemaniu - nie oznacza to, że Urząd powinien rozpatrywać niniejsze wnioski w trybie KPA  - należy w tym przypadku zawsze stosować art. 222 KPA. </w:t>
      </w:r>
    </w:p>
    <w:p w14:paraId="2BDB975B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W opinii Wnioskodawcy Urząd powinien w zależności od dokonanej interpretacji treści pisma  - procedować nasze wnioski  -  ad exemplum w trybie Ustawy o petycjach (Dz.U.2014.1195 z dnia 2014.09.05)  lub odpowiednio Ustawy o dostępie do informacji publicznej (wynika to zazwyczaj z jego treści i powołanych podstaw prawnych) - lub stosować art. 222KPA </w:t>
      </w:r>
    </w:p>
    <w:p w14:paraId="224A5474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Zatem - wg. Wnioskodawcy niniejszy wniosek może być jedynie fakultatywnie rozpatrywany - jako optymalizacyjny w związku z art. 241 KPA. </w:t>
      </w:r>
    </w:p>
    <w:p w14:paraId="1896AA2E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W naszych wnioskach/petycjach  często powołujemy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sie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670B577D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Każdy Podmiot mający styczność z Urzędem - ma prawo i obowiązek - usprawniać struktury administracji samorządowej i każdy Podmiot bez wyjątku ma obowiązek walczyć o lepszą przyszłość dla Polski. </w:t>
      </w:r>
    </w:p>
    <w:p w14:paraId="392839C4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Zatem pomimo formy zewnętrznej - Decydenci mogą/powinni dokonać własnej interpretacji  - zgodnie z brzmieniem art. 222 KPA. </w:t>
      </w:r>
    </w:p>
    <w:p w14:paraId="573CE87F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56B0373D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Nazwa Wnioskodawca/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Petycjodawca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- jest dla uproszczenia stosowna jako synonim nazwy “Podmiot Wnoszący Petycję” - w rozumieniu art. 4 ust. 4 Ustawy o petycjach (Dz.U.2014.1195 z dnia 2014.09.05) </w:t>
      </w:r>
    </w:p>
    <w:p w14:paraId="4143F69A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67584ACF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413AD15F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087F121E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0DE6ABE5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655D1CFF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lastRenderedPageBreak/>
        <w:t>Celem naszych wniosków jest - sensu largo - usprawnienie, naprawa - na miarę istniejących możliwości - funkcjonowania struktur Administracji Publicznej - głownie w Gminach/Miastach/JST*  - gdzie jak wynika z naszych wniosków - stan faktyczny wymaga wszczęcia procedur sanacyjnych. </w:t>
      </w:r>
    </w:p>
    <w:p w14:paraId="402E544E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4C64FCDE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W Jednostkach Centralnych  - stan faktyczny jest o wiele lepszy.  </w:t>
      </w:r>
    </w:p>
    <w:p w14:paraId="5945A3E4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5FAD5A76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18744BA5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4086A633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Jeżeli JST nie zgadza się z powołanymi przepisami prawa, prosimy aby zastosowano podstawy prawne akceptowane przez JST.</w:t>
      </w:r>
    </w:p>
    <w:p w14:paraId="08A2C148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66DD96F5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5DF530DC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Pamiętajmy również o przepisach zawartych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inter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alia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 w14:paraId="22604B6E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Jeśli do przedmiotowego wniosku dołączono petycję - należy uznać, że Stosownie do art. 4 ust. 2 pkt. 1 Ustawy o petycjach ( tj. Dz.U. 2018 poz. 870)  -  osobą reprezentująca Podmiot wnoszący petycję - jest Prezes Zarządu wskazany w stopce </w:t>
      </w:r>
    </w:p>
    <w:p w14:paraId="633A76D4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petycjodawcę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,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etc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</w:t>
      </w:r>
    </w:p>
    <w:p w14:paraId="54ED81E0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Adresatem Petycji - jest Organ ujawniony w komparycji.</w:t>
      </w:r>
    </w:p>
    <w:p w14:paraId="369C4691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Kierownik Jednostki Samorządu Terytorialnego (dalej JST)  - w rozumieniu art. 33 ust. 3 Ustawy o samorządzie gminnym* (lub pow.) </w:t>
      </w:r>
    </w:p>
    <w:p w14:paraId="244BFA80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11D5C177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506BB836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Postulujemy, ABY NASZA PETYCJA NIE BYŁA W ŻADNYM RAZIE ŁĄCZONA Z PÓŹNIEJSZYM jakimkolwiek trybem zamówienia  nie musimy dodawać, że mamy nadzieję, iż wszelkie postępowania będą  prowadzone z uwzględnieniem zasad uczciwej konkurencji - i o wyborze oferenta będą decydować jedynie ustalone przez decydentów kryteria związane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inter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</w:t>
      </w:r>
      <w:proofErr w:type="spellStart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alia</w:t>
      </w:r>
      <w:proofErr w:type="spellEnd"/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z parametrami ofert oraz ceną. </w:t>
      </w:r>
    </w:p>
    <w:p w14:paraId="4F86E27B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</w:p>
    <w:p w14:paraId="04AB73FC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408D4238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Ponownie sygnalizujemy, że do wniosku dołączono plik podpisany  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0632369D" w14:textId="77777777" w:rsidR="00D6144B" w:rsidRPr="00D6144B" w:rsidRDefault="00D6144B" w:rsidP="00D6144B">
      <w:pPr>
        <w:jc w:val="both"/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</w:pPr>
      <w:r w:rsidRPr="00D6144B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* - niepotrzebne - pominąć </w:t>
      </w:r>
    </w:p>
    <w:p w14:paraId="75DDE437" w14:textId="77777777" w:rsidR="00D6144B" w:rsidRPr="00D6144B" w:rsidRDefault="00D6144B" w:rsidP="00D6144B">
      <w:pPr>
        <w:jc w:val="both"/>
        <w:rPr>
          <w:rFonts w:ascii="Arial" w:hAnsi="Arial" w:cs="Arial"/>
          <w:sz w:val="15"/>
          <w:szCs w:val="15"/>
        </w:rPr>
      </w:pPr>
    </w:p>
    <w:sectPr w:rsidR="00D6144B" w:rsidRPr="00D6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4B"/>
    <w:rsid w:val="00D6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711BE"/>
  <w15:chartTrackingRefBased/>
  <w15:docId w15:val="{B42E8178-45BF-7749-90D0-8D315E39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6144B"/>
  </w:style>
  <w:style w:type="character" w:styleId="Hipercze">
    <w:name w:val="Hyperlink"/>
    <w:basedOn w:val="Domylnaczcionkaakapitu"/>
    <w:uiPriority w:val="99"/>
    <w:semiHidden/>
    <w:unhideWhenUsed/>
    <w:rsid w:val="00D6144B"/>
    <w:rPr>
      <w:color w:val="0000FF"/>
      <w:u w:val="single"/>
    </w:rPr>
  </w:style>
  <w:style w:type="character" w:customStyle="1" w:styleId="apple-tab-span">
    <w:name w:val="apple-tab-span"/>
    <w:basedOn w:val="Domylnaczcionkaakapitu"/>
    <w:rsid w:val="00D61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1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80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16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37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2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78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87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83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70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08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57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88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60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93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94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59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60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41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73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72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65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96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98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2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05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1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65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22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97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27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42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68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45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00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4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26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93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0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33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1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5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5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13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52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50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99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4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2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88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67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01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36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76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77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2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73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08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16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82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08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30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85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74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92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89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12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0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49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28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38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40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4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1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01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4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8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94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43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45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05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44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60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93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10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07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25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11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39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08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90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85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05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57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83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04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34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56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40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59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9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59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5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33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5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85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4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38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64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43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83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26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41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35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01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50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60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8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50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54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27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83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05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9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84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0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80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11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03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76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8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59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02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96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6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0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52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0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3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mina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commerce@samorzad.pl" TargetMode="External"/><Relationship Id="rId5" Type="http://schemas.openxmlformats.org/officeDocument/2006/relationships/hyperlink" Target="mailto:e-commerce@samorzad.pl" TargetMode="External"/><Relationship Id="rId4" Type="http://schemas.openxmlformats.org/officeDocument/2006/relationships/hyperlink" Target="http://m.i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3571</Words>
  <Characters>21428</Characters>
  <Application>Microsoft Office Word</Application>
  <DocSecurity>0</DocSecurity>
  <Lines>178</Lines>
  <Paragraphs>49</Paragraphs>
  <ScaleCrop>false</ScaleCrop>
  <Company/>
  <LinksUpToDate>false</LinksUpToDate>
  <CharactersWithSpaces>24950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2023-11-21T12:10:00Z</dcterms:created>
  <dcterms:modified xsi:type="dcterms:W3CDTF">2023-11-21T12:11:00Z</dcterms:modified>
</cp:coreProperties>
</file>